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0">
      <w:pPr>
        <w:pBdr>
          <w:top w:space="0" w:sz="0" w:val="nil"/>
          <w:left w:space="0" w:sz="0" w:val="nil"/>
          <w:bottom w:space="0" w:sz="0" w:val="nil"/>
          <w:right w:space="0" w:sz="0" w:val="nil"/>
          <w:between w:space="0" w:sz="0" w:val="nil"/>
        </w:pBdr>
        <w:shd w:fill="auto" w:val="clear"/>
        <w:contextualSpacing w:val="0"/>
        <w:jc w:val="center"/>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Тема: 10 заповедей — любить человека (не лгать)</w:t>
      </w:r>
    </w:p>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contextualSpacing w:val="0"/>
        <w:jc w:val="both"/>
        <w:rPr>
          <w:rFonts w:ascii="Georgia" w:cs="Georgia" w:eastAsia="Georgia" w:hAnsi="Georgia"/>
          <w:b w:val="1"/>
          <w:sz w:val="24"/>
          <w:szCs w:val="24"/>
        </w:rPr>
      </w:pPr>
      <w:r w:rsidDel="00000000" w:rsidR="00000000" w:rsidRPr="00000000">
        <w:rPr>
          <w:rFonts w:ascii="Georgia" w:cs="Georgia" w:eastAsia="Georgia" w:hAnsi="Georgia"/>
          <w:sz w:val="24"/>
          <w:szCs w:val="24"/>
          <w:rtl w:val="0"/>
        </w:rPr>
        <w:t xml:space="preserve">Примечание: Практическое применение, приведённое в уроке, является лишь вариантом, предложенным святым для их подготовки. Оно не предназначено для того, чтобы направлять или ограничивать способ применения бремени урока. Мы воодушевляем святых молиться и соприкасаться с Господом, чтобы получить Его бремя и водительство в проведении и применении урока. Общайтесь с другими святыми. Задавая вопросы детям, вы также можете найти много полезных применений.</w:t>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contextualSpacing w:val="0"/>
        <w:jc w:val="cente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contextualSpacing w:val="0"/>
        <w:rPr>
          <w:rFonts w:ascii="Georgia" w:cs="Georgia" w:eastAsia="Georgia" w:hAnsi="Georgia"/>
          <w:sz w:val="24"/>
          <w:szCs w:val="24"/>
        </w:rPr>
      </w:pPr>
      <w:r w:rsidDel="00000000" w:rsidR="00000000" w:rsidRPr="00000000">
        <w:rPr>
          <w:rFonts w:ascii="Georgia" w:cs="Georgia" w:eastAsia="Georgia" w:hAnsi="Georgia"/>
          <w:b w:val="1"/>
          <w:sz w:val="24"/>
          <w:szCs w:val="24"/>
          <w:u w:val="single"/>
          <w:rtl w:val="0"/>
        </w:rPr>
        <w:t xml:space="preserve">Начальный уровень: </w:t>
      </w: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ind w:left="975" w:hanging="1005"/>
        <w:contextualSpacing w:val="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Стих: </w:t>
        <w:tab/>
        <w:t xml:space="preserve">“Не свидетельствуй против твоего ближнего ложным свидетельством” (Исх. 20:16).</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ind w:left="975" w:hanging="1005"/>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ind w:left="975" w:hanging="1005"/>
        <w:contextualSpacing w:val="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Бремя:</w:t>
        <w:tab/>
        <w:t xml:space="preserve">Девятая заповедь заключается в том, чтобы любить других и не лгать им. Мы всегда должны говорить правду.</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ind w:left="975" w:hanging="1005"/>
        <w:contextualSpacing w:val="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ind w:left="-30" w:firstLine="0"/>
        <w:contextualSpacing w:val="0"/>
        <w:jc w:val="both"/>
        <w:rPr>
          <w:rFonts w:ascii="Georgia" w:cs="Georgia" w:eastAsia="Georgia" w:hAnsi="Georgia"/>
          <w:sz w:val="24"/>
          <w:szCs w:val="24"/>
          <w:highlight w:val="white"/>
        </w:rPr>
      </w:pPr>
      <w:r w:rsidDel="00000000" w:rsidR="00000000" w:rsidRPr="00000000">
        <w:rPr>
          <w:rFonts w:ascii="Georgia" w:cs="Georgia" w:eastAsia="Georgia" w:hAnsi="Georgia"/>
          <w:sz w:val="24"/>
          <w:szCs w:val="24"/>
          <w:rtl w:val="0"/>
        </w:rPr>
        <w:t xml:space="preserve">Практическое применение: Существует много примеров того, как дети могут лгать. Например: мама говорит, что ребёнок может взять 2 конфеты, а он берёт 3. Когда его спрашивают, сколько конфет он взял, он увиливает от правды, говоря: “я взял 2”, “я не знаю”, “я не помню”, или “я тебя не услышал”; всё это — различные формы лжи. Когда мы лжём, мы говорим то, что, мы знаем, не является правдой. Мы всегда должны говорить правду. Это показывет, что мы чтим и любим других. Служащие могут рассказать историю о </w:t>
      </w:r>
      <w:r w:rsidDel="00000000" w:rsidR="00000000" w:rsidRPr="00000000">
        <w:rPr>
          <w:rFonts w:ascii="Georgia" w:cs="Georgia" w:eastAsia="Georgia" w:hAnsi="Georgia"/>
          <w:color w:val="212121"/>
          <w:sz w:val="24"/>
          <w:szCs w:val="24"/>
          <w:highlight w:val="white"/>
          <w:rtl w:val="0"/>
        </w:rPr>
        <w:t xml:space="preserve">мальчике, который кричал: "Волк!” </w:t>
      </w:r>
      <w:r w:rsidDel="00000000" w:rsidR="00000000" w:rsidRPr="00000000">
        <w:rPr>
          <w:rFonts w:ascii="Georgia" w:cs="Georgia" w:eastAsia="Georgia" w:hAnsi="Georgia"/>
          <w:sz w:val="24"/>
          <w:szCs w:val="24"/>
          <w:highlight w:val="white"/>
          <w:rtl w:val="0"/>
        </w:rPr>
        <w:t xml:space="preserve">(</w:t>
      </w:r>
      <w:r w:rsidDel="00000000" w:rsidR="00000000" w:rsidRPr="00000000">
        <w:rPr>
          <w:rFonts w:ascii="Georgia" w:cs="Georgia" w:eastAsia="Georgia" w:hAnsi="Georgia"/>
          <w:sz w:val="24"/>
          <w:szCs w:val="24"/>
          <w:highlight w:val="white"/>
          <w:rtl w:val="0"/>
        </w:rPr>
        <w:t xml:space="preserve">Л.Н. Толстой. Басня «Лгун»</w:t>
      </w:r>
      <w:r w:rsidDel="00000000" w:rsidR="00000000" w:rsidRPr="00000000">
        <w:rPr>
          <w:rFonts w:ascii="Georgia" w:cs="Georgia" w:eastAsia="Georgia" w:hAnsi="Georgia"/>
          <w:sz w:val="24"/>
          <w:szCs w:val="24"/>
          <w:highlight w:val="white"/>
          <w:rtl w:val="0"/>
        </w:rPr>
        <w:t xml:space="preserve">).</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ind w:left="-30" w:firstLine="0"/>
        <w:contextualSpacing w:val="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ind w:left="-30" w:firstLine="0"/>
        <w:contextualSpacing w:val="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ind w:left="-30" w:firstLine="0"/>
        <w:contextualSpacing w:val="0"/>
        <w:jc w:val="both"/>
        <w:rPr>
          <w:rFonts w:ascii="Georgia" w:cs="Georgia" w:eastAsia="Georgia" w:hAnsi="Georgia"/>
          <w:sz w:val="24"/>
          <w:szCs w:val="24"/>
        </w:rPr>
      </w:pPr>
      <w:r w:rsidDel="00000000" w:rsidR="00000000" w:rsidRPr="00000000">
        <w:rPr>
          <w:rFonts w:ascii="Georgia" w:cs="Georgia" w:eastAsia="Georgia" w:hAnsi="Georgia"/>
          <w:b w:val="1"/>
          <w:sz w:val="24"/>
          <w:szCs w:val="24"/>
          <w:u w:val="single"/>
          <w:rtl w:val="0"/>
        </w:rPr>
        <w:t xml:space="preserve">Средний уровень:</w:t>
      </w: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ind w:left="-30" w:firstLine="0"/>
        <w:contextualSpacing w:val="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ind w:left="975" w:hanging="1005"/>
        <w:contextualSpacing w:val="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Стих: </w:t>
        <w:tab/>
        <w:t xml:space="preserve">“Лживые губы — мерзость для Иеговы, / А поступающие верно — Его отрада” (Прит. 12:22).</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ind w:left="975" w:hanging="1005"/>
        <w:contextualSpacing w:val="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ind w:left="975" w:hanging="1005"/>
        <w:contextualSpacing w:val="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Бремя: </w:t>
        <w:tab/>
        <w:t xml:space="preserve">Когда Бог повелевает нам не лгать, Он велит нам не говорить того, что, мы знаем, не является правдой. Если мы сделали что-то неправильное, мы должны сказать правду о том, что мы сделали или сказали.</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ind w:left="975" w:hanging="1005"/>
        <w:contextualSpacing w:val="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ind w:left="-30" w:firstLine="0"/>
        <w:contextualSpacing w:val="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Практическое применение: Обсудите с детьми различные способы, которыми люди могут лгать (намеренная ложь, молчание, преувеличение, лесть, полуправда, и т.д.). Божье повеление не лгать охватывает все эти ситуации, когда правда не говорится. Не важно, говорим мы большую ложь или маленькую. Если мы говорим или делаем что-то неправильное и не говорим правду об этом, не признаемся или молчим, мы скрываем правду. Мы должны следовать за своей совестью и всегда говорить правду. Если мы солгали, мы должны сказать правду. Можно рассказать историю Анании и Сапфиры из Деян. 5.</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ind w:left="-30" w:firstLine="0"/>
        <w:contextualSpacing w:val="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ind w:left="-30" w:firstLine="0"/>
        <w:contextualSpacing w:val="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ind w:left="-30" w:firstLine="0"/>
        <w:contextualSpacing w:val="0"/>
        <w:jc w:val="both"/>
        <w:rPr>
          <w:rFonts w:ascii="Georgia" w:cs="Georgia" w:eastAsia="Georgia" w:hAnsi="Georgia"/>
          <w:sz w:val="24"/>
          <w:szCs w:val="24"/>
        </w:rPr>
      </w:pPr>
      <w:r w:rsidDel="00000000" w:rsidR="00000000" w:rsidRPr="00000000">
        <w:rPr>
          <w:rFonts w:ascii="Georgia" w:cs="Georgia" w:eastAsia="Georgia" w:hAnsi="Georgia"/>
          <w:b w:val="1"/>
          <w:sz w:val="24"/>
          <w:szCs w:val="24"/>
          <w:u w:val="single"/>
          <w:rtl w:val="0"/>
        </w:rPr>
        <w:t xml:space="preserve">Продвинутый уровень:</w:t>
      </w: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ind w:left="-30" w:firstLine="0"/>
        <w:contextualSpacing w:val="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ind w:left="975" w:hanging="1005"/>
        <w:contextualSpacing w:val="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Стих: </w:t>
        <w:tab/>
        <w:t xml:space="preserve">“... потому что нет истины в нём. Когда он говорит ложь, то говорит из своего собственного; ибо он лжец и отец её” (Ин.8:44).</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ind w:left="975" w:hanging="1005"/>
        <w:contextualSpacing w:val="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9">
      <w:pPr>
        <w:ind w:left="992.1259842519685" w:firstLine="0"/>
        <w:contextualSpacing w:val="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“А пусть ваше слово будет «да, да», «нет, нет»; ибо что сверх этого, то от лукавого” (Мф. 5:37). (Стих для запоминания)</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ind w:left="975" w:hanging="1005"/>
        <w:contextualSpacing w:val="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ind w:left="975" w:hanging="1005"/>
        <w:contextualSpacing w:val="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Бремя: </w:t>
        <w:tab/>
        <w:t xml:space="preserve">Девятая заповедь — не лгать — является отображением Самого Бога. Источником лжи является Сатана. Бог повелевает нам держаться подальше от Сатаны и поближе к Богу. Также для того, чтобы получить Божье спасение, мы должны исповедать (сказать правду) то, что мы сделали, и не отрицать этого (лгать).</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ind w:left="-30" w:firstLine="0"/>
        <w:contextualSpacing w:val="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ind w:left="-30" w:firstLine="0"/>
        <w:contextualSpacing w:val="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Практическое применение: Бог не может лгать, и всё, что Бог говорит — это правда (Евр. 6:18; Тит. 1:2). Сатана, наоборот, лжец и отец лжи. Спросите детей: если они лгут, следуют ли они за Богом или за Сатаной? Божье повеление не лгать хранит нас подальше от Сатаны и ближе к Богу. Бог находит отраду в тех, кто говорит правду (Пс. 51:6), поэтому чтобы быть теми, кто следует за Богом и угождает Ему, мы не должны говорить ложь и обманывать (Отк. 14:5). То, что мы говорим правду, очень серьёзно. Вот почему для того, чтобы получить Божье спасение, мы должны исповедать то, что мы сказали или сделали против Бога. Отрицать то, что мы сказали или сделали что-то неправильное значит лгать, но исповедовать это значит говорить правду, и исповедь ведёт нас к Божьему спасению.</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ind w:left="-30" w:firstLine="0"/>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ind w:left="-30" w:firstLine="0"/>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ind w:left="-30" w:firstLine="0"/>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ind w:left="-30" w:firstLine="0"/>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ind w:left="-30" w:firstLine="0"/>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ind w:left="-30" w:firstLine="0"/>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ind w:left="-30" w:firstLine="0"/>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ind w:left="-30" w:firstLine="0"/>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contextualSpacing w:val="0"/>
        <w:rPr>
          <w:rFonts w:ascii="Georgia" w:cs="Georgia" w:eastAsia="Georgia" w:hAnsi="Georgia"/>
          <w:sz w:val="24"/>
          <w:szCs w:val="24"/>
        </w:rPr>
      </w:pPr>
      <w:r w:rsidDel="00000000" w:rsidR="00000000" w:rsidRPr="00000000">
        <w:rPr>
          <w:rtl w:val="0"/>
        </w:rPr>
      </w:r>
    </w:p>
    <w:sectPr>
      <w:pgSz w:h="16834" w:w="11909"/>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b w:val="0"/>
        <w:i w:val="0"/>
        <w:smallCaps w:val="0"/>
        <w:strike w:val="0"/>
        <w:color w:val="000000"/>
        <w:sz w:val="22"/>
        <w:szCs w:val="22"/>
        <w:u w:val="none"/>
        <w:shd w:fill="auto" w:val="clear"/>
        <w:vertAlign w:val="baseline"/>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1"/>
      <w:spacing w:after="120" w:before="400" w:line="276" w:lineRule="auto"/>
      <w:ind w:left="0" w:right="0" w:firstLine="0"/>
      <w:contextualSpacing w:val="0"/>
      <w:jc w:val="left"/>
    </w:pPr>
    <w:rPr>
      <w:rFonts w:ascii="Arial" w:cs="Arial" w:eastAsia="Arial" w:hAnsi="Arial"/>
      <w:b w:val="0"/>
      <w:i w:val="0"/>
      <w:smallCaps w:val="0"/>
      <w:strike w:val="0"/>
      <w:color w:val="000000"/>
      <w:sz w:val="40"/>
      <w:szCs w:val="40"/>
      <w:u w:val="none"/>
      <w:vertAlign w:val="baseline"/>
    </w:rPr>
  </w:style>
  <w:style w:type="paragraph" w:styleId="Heading2">
    <w:name w:val="heading 2"/>
    <w:basedOn w:val="Normal"/>
    <w:next w:val="Normal"/>
    <w:pPr>
      <w:keepNext w:val="1"/>
      <w:keepLines w:val="1"/>
      <w:widowControl w:val="1"/>
      <w:spacing w:after="120" w:before="360" w:line="276" w:lineRule="auto"/>
      <w:ind w:left="0" w:right="0" w:firstLine="0"/>
      <w:contextualSpacing w:val="0"/>
      <w:jc w:val="left"/>
    </w:pPr>
    <w:rPr>
      <w:rFonts w:ascii="Arial" w:cs="Arial" w:eastAsia="Arial" w:hAnsi="Arial"/>
      <w:b w:val="0"/>
      <w:i w:val="0"/>
      <w:smallCaps w:val="0"/>
      <w:strike w:val="0"/>
      <w:color w:val="000000"/>
      <w:sz w:val="32"/>
      <w:szCs w:val="32"/>
      <w:u w:val="none"/>
      <w:vertAlign w:val="baseline"/>
    </w:rPr>
  </w:style>
  <w:style w:type="paragraph" w:styleId="Heading3">
    <w:name w:val="heading 3"/>
    <w:basedOn w:val="Normal"/>
    <w:next w:val="Normal"/>
    <w:pPr>
      <w:keepNext w:val="1"/>
      <w:keepLines w:val="1"/>
      <w:widowControl w:val="1"/>
      <w:spacing w:after="80" w:before="320" w:line="276" w:lineRule="auto"/>
      <w:ind w:left="0" w:right="0" w:firstLine="0"/>
      <w:contextualSpacing w:val="0"/>
      <w:jc w:val="left"/>
    </w:pPr>
    <w:rPr>
      <w:rFonts w:ascii="Arial" w:cs="Arial" w:eastAsia="Arial" w:hAnsi="Arial"/>
      <w:b w:val="0"/>
      <w:i w:val="0"/>
      <w:smallCaps w:val="0"/>
      <w:strike w:val="0"/>
      <w:color w:val="434343"/>
      <w:sz w:val="28"/>
      <w:szCs w:val="28"/>
      <w:u w:val="none"/>
      <w:vertAlign w:val="baseline"/>
    </w:rPr>
  </w:style>
  <w:style w:type="paragraph" w:styleId="Heading4">
    <w:name w:val="heading 4"/>
    <w:basedOn w:val="Normal"/>
    <w:next w:val="Normal"/>
    <w:pPr>
      <w:keepNext w:val="1"/>
      <w:keepLines w:val="1"/>
      <w:widowControl w:val="1"/>
      <w:spacing w:after="80" w:before="280" w:line="276" w:lineRule="auto"/>
      <w:ind w:left="0" w:right="0" w:firstLine="0"/>
      <w:contextualSpacing w:val="0"/>
      <w:jc w:val="left"/>
    </w:pPr>
    <w:rPr>
      <w:rFonts w:ascii="Arial" w:cs="Arial" w:eastAsia="Arial" w:hAnsi="Arial"/>
      <w:b w:val="0"/>
      <w:i w:val="0"/>
      <w:smallCaps w:val="0"/>
      <w:strike w:val="0"/>
      <w:color w:val="666666"/>
      <w:sz w:val="24"/>
      <w:szCs w:val="24"/>
      <w:u w:val="none"/>
      <w:vertAlign w:val="baseline"/>
    </w:rPr>
  </w:style>
  <w:style w:type="paragraph" w:styleId="Heading5">
    <w:name w:val="heading 5"/>
    <w:basedOn w:val="Normal"/>
    <w:next w:val="Normal"/>
    <w:pPr>
      <w:keepNext w:val="1"/>
      <w:keepLines w:val="1"/>
      <w:widowControl w:val="1"/>
      <w:spacing w:after="80" w:before="240" w:line="276" w:lineRule="auto"/>
      <w:ind w:left="0" w:right="0" w:firstLine="0"/>
      <w:contextualSpacing w:val="0"/>
      <w:jc w:val="left"/>
    </w:pPr>
    <w:rPr>
      <w:rFonts w:ascii="Arial" w:cs="Arial" w:eastAsia="Arial" w:hAnsi="Arial"/>
      <w:b w:val="0"/>
      <w:i w:val="0"/>
      <w:smallCaps w:val="0"/>
      <w:strike w:val="0"/>
      <w:color w:val="666666"/>
      <w:sz w:val="22"/>
      <w:szCs w:val="22"/>
      <w:u w:val="none"/>
      <w:vertAlign w:val="baseline"/>
    </w:rPr>
  </w:style>
  <w:style w:type="paragraph" w:styleId="Heading6">
    <w:name w:val="heading 6"/>
    <w:basedOn w:val="Normal"/>
    <w:next w:val="Normal"/>
    <w:pPr>
      <w:keepNext w:val="1"/>
      <w:keepLines w:val="1"/>
      <w:widowControl w:val="1"/>
      <w:spacing w:after="80" w:before="240" w:line="276" w:lineRule="auto"/>
      <w:ind w:left="0" w:right="0" w:firstLine="0"/>
      <w:contextualSpacing w:val="0"/>
      <w:jc w:val="left"/>
    </w:pPr>
    <w:rPr>
      <w:rFonts w:ascii="Arial" w:cs="Arial" w:eastAsia="Arial" w:hAnsi="Arial"/>
      <w:b w:val="0"/>
      <w:i w:val="1"/>
      <w:smallCaps w:val="0"/>
      <w:strike w:val="0"/>
      <w:color w:val="666666"/>
      <w:sz w:val="22"/>
      <w:szCs w:val="22"/>
      <w:u w:val="none"/>
      <w:vertAlign w:val="baseline"/>
    </w:rPr>
  </w:style>
  <w:style w:type="paragraph" w:styleId="Title">
    <w:name w:val="Title"/>
    <w:basedOn w:val="Normal"/>
    <w:next w:val="Normal"/>
    <w:pPr>
      <w:keepNext w:val="1"/>
      <w:keepLines w:val="1"/>
      <w:widowControl w:val="1"/>
      <w:spacing w:after="60" w:before="0" w:line="276" w:lineRule="auto"/>
      <w:ind w:left="0" w:right="0" w:firstLine="0"/>
      <w:contextualSpacing w:val="0"/>
      <w:jc w:val="left"/>
    </w:pPr>
    <w:rPr>
      <w:rFonts w:ascii="Arial" w:cs="Arial" w:eastAsia="Arial" w:hAnsi="Arial"/>
      <w:b w:val="0"/>
      <w:i w:val="0"/>
      <w:smallCaps w:val="0"/>
      <w:strike w:val="0"/>
      <w:color w:val="000000"/>
      <w:sz w:val="52"/>
      <w:szCs w:val="52"/>
      <w:u w:val="none"/>
      <w:vertAlign w:val="baseline"/>
    </w:rPr>
  </w:style>
  <w:style w:type="paragraph" w:styleId="Subtitle">
    <w:name w:val="Subtitle"/>
    <w:basedOn w:val="Normal"/>
    <w:next w:val="Normal"/>
    <w:pPr>
      <w:keepNext w:val="1"/>
      <w:keepLines w:val="1"/>
      <w:widowControl w:val="1"/>
      <w:spacing w:after="320" w:before="0" w:line="276" w:lineRule="auto"/>
      <w:ind w:left="0" w:right="0" w:firstLine="0"/>
      <w:contextualSpacing w:val="0"/>
      <w:jc w:val="left"/>
    </w:pPr>
    <w:rPr>
      <w:rFonts w:ascii="Arial" w:cs="Arial" w:eastAsia="Arial" w:hAnsi="Arial"/>
      <w:b w:val="0"/>
      <w:i w:val="0"/>
      <w:smallCaps w:val="0"/>
      <w:strike w:val="0"/>
      <w:color w:val="666666"/>
      <w:sz w:val="30"/>
      <w:szCs w:val="30"/>
      <w:u w:val="none"/>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